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6BD054BE" w14:textId="178DEFA8" w:rsidR="003D11C4" w:rsidRDefault="003D11C4" w:rsidP="00EB32D2">
      <w:pPr>
        <w:spacing w:before="240"/>
        <w:ind w:firstLine="0"/>
        <w:rPr>
          <w:rFonts w:cstheme="minorHAnsi"/>
          <w:b/>
          <w:bCs/>
        </w:rPr>
      </w:pPr>
      <w:r w:rsidRPr="008167CE">
        <w:rPr>
          <w:rFonts w:cstheme="minorHAnsi"/>
          <w:b/>
          <w:bCs/>
        </w:rPr>
        <w:t>Abstract</w:t>
      </w:r>
      <w:r w:rsidR="005557BE" w:rsidRPr="008167CE">
        <w:rPr>
          <w:rFonts w:cstheme="minorHAnsi"/>
          <w:b/>
          <w:bCs/>
        </w:rPr>
        <w:t xml:space="preserve">. </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16CD8264"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Content>
          <w:r w:rsidR="00A06B07" w:rsidRPr="00A06B07">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Content>
          <w:r w:rsidR="00A06B07" w:rsidRPr="00A06B07">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Content>
          <w:r w:rsidR="00A06B07" w:rsidRPr="00A06B07">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0BFF8FD4"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Content>
          <w:r w:rsidR="00A06B07" w:rsidRPr="00A06B07">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Content>
          <w:r w:rsidR="00A06B07" w:rsidRPr="00A06B07">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Content>
          <w:r w:rsidR="00A06B07" w:rsidRPr="00A06B07">
            <w:rPr>
              <w:color w:val="000000"/>
            </w:rPr>
            <w:t>(Janjić et al. 2018)</w:t>
          </w:r>
        </w:sdtContent>
      </w:sdt>
      <w:r w:rsidR="00950AB1">
        <w:t xml:space="preserve"> </w:t>
      </w:r>
      <w:r>
        <w:t>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Content>
          <w:r w:rsidR="00A06B07" w:rsidRPr="00A06B07">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Content>
          <w:r w:rsidR="00A06B07" w:rsidRPr="00A06B07">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Content>
          <w:r w:rsidR="00A06B07" w:rsidRPr="00A06B07">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Content>
          <w:r w:rsidR="00A06B07" w:rsidRPr="00A06B07">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Content>
          <w:r w:rsidR="00A06B07" w:rsidRPr="00A06B07">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Content>
          <w:r w:rsidR="00A06B07" w:rsidRPr="00A06B07">
            <w:rPr>
              <w:color w:val="000000"/>
            </w:rPr>
            <w:t>(Vannitsem et al. 2021)</w:t>
          </w:r>
        </w:sdtContent>
      </w:sdt>
      <w:r w:rsidR="000A084A">
        <w:rPr>
          <w:color w:val="000000"/>
        </w:rPr>
        <w:t>.</w:t>
      </w:r>
    </w:p>
    <w:p w14:paraId="72E20566" w14:textId="636FBCC2"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Content>
          <w:r w:rsidR="00A06B07" w:rsidRPr="00A06B07">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Content>
          <w:r w:rsidR="00A06B07" w:rsidRPr="00A06B07">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lastRenderedPageBreak/>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16B34AA7" w14:textId="464F2F51" w:rsidR="00D66A22" w:rsidRPr="00D66A22" w:rsidRDefault="00FA13F9" w:rsidP="00D66A22">
      <w:pPr>
        <w:pStyle w:val="Titolo2"/>
      </w:pPr>
      <w:r>
        <w:t>Forecasts: ENS</w:t>
      </w:r>
    </w:p>
    <w:p w14:paraId="5CE8D0B0" w14:textId="462BABC2"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Content>
          <w:r w:rsidR="00A06B07" w:rsidRPr="00A06B07">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Content>
          <w:r w:rsidR="00A06B07" w:rsidRPr="00A06B07">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Titolo2"/>
      </w:pPr>
      <w:r>
        <w:t>Forecasts: ecPoint</w:t>
      </w:r>
    </w:p>
    <w:p w14:paraId="03CCB6AF" w14:textId="2C171A82"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Content>
          <w:r w:rsidR="00A06B07" w:rsidRPr="00A06B07">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Content>
          <w:r w:rsidR="00A06B07" w:rsidRPr="00A06B07">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Content>
          <w:r w:rsidR="00A06B07" w:rsidRPr="00A06B07">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5064E57C"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differ from grid-box to 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Content>
          <w:r w:rsidR="00A06B07" w:rsidRPr="00A06B07">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Content>
          <w:r w:rsidR="00A06B07" w:rsidRPr="00A06B07">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Content>
          <w:r w:rsidR="00A06B07" w:rsidRPr="00A06B07">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Titolo2"/>
      </w:pPr>
      <w:r>
        <w:t>Observations: SYNOP and local high-density rain gauges</w:t>
      </w:r>
    </w:p>
    <w:p w14:paraId="6E1EE97C" w14:textId="0340022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Content>
          <w:r w:rsidR="00A06B07" w:rsidRPr="00A06B07">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w:t>
      </w:r>
      <w:r>
        <w:lastRenderedPageBreak/>
        <w:t xml:space="preserve">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8A780F4" w14:textId="1F8E93C5" w:rsidR="00DA2115" w:rsidRDefault="00DA2115" w:rsidP="00DA2115">
      <w:r>
        <w:t>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materializes (Ben Bouallègue and Richardson 2022). Post-processing adds value to raw forecasts if both reliability and discrimination ability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3E9ED184" w:rsidR="008A2630" w:rsidRDefault="009F70BA" w:rsidP="001E4341">
      <w:pPr>
        <w:pStyle w:val="Titolo2"/>
      </w:pPr>
      <w:r>
        <w:t>R</w:t>
      </w:r>
      <w:r w:rsidR="001D7932">
        <w:t xml:space="preserve">eliability: </w:t>
      </w:r>
      <w:r>
        <w:t>R</w:t>
      </w:r>
      <w:r w:rsidR="001E4341">
        <w:t xml:space="preserve">eliability </w:t>
      </w:r>
      <w:r>
        <w:t>C</w:t>
      </w:r>
      <w:r w:rsidR="001E4341">
        <w:t xml:space="preserve">omponent of </w:t>
      </w:r>
      <w:r>
        <w:t xml:space="preserve">the </w:t>
      </w:r>
      <w:r w:rsidR="001D7932">
        <w:t>Brier Score</w:t>
      </w:r>
      <w:r w:rsidR="00CE7AA5">
        <w:t xml:space="preserve"> (</w:t>
      </w:r>
      <w:r w:rsidR="00C450F8">
        <w:t>BSrel</w:t>
      </w:r>
      <w:r w:rsidR="00CE7AA5">
        <w:t>)</w:t>
      </w:r>
    </w:p>
    <w:p w14:paraId="11F77D81" w14:textId="799729F1"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Content>
          <w:r w:rsidR="00A06B07" w:rsidRPr="00A06B07">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000000"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7ACB608C" w:rsidR="0069160D" w:rsidRDefault="001A4C78" w:rsidP="00974ACD">
      <w:pPr>
        <w:pStyle w:val="Titolo2"/>
      </w:pPr>
      <w:r>
        <w:t>D</w:t>
      </w:r>
      <w:r w:rsidR="008F46F7">
        <w:t xml:space="preserve">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w:t>
      </w:r>
      <w:r w:rsidRPr="00AB2733">
        <w:rPr>
          <w:color w:val="000000"/>
        </w:rPr>
        <w:lastRenderedPageBreak/>
        <w:t xml:space="preserve">provide additional information beyond climatological predictions). In this case, the ROC curve lies along the graph’s diagonal, and the AROC equals 0.5. </w:t>
      </w:r>
    </w:p>
    <w:p w14:paraId="2C19DEE8" w14:textId="7B4ED9CA"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Content>
          <w:r w:rsidR="00A06B07" w:rsidRPr="00A06B07">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Content>
          <w:r w:rsidR="00A65B3E" w:rsidRPr="00A65B3E">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adding the areas of the single trapeziums formed by the straight lines between ROC’s consecutive points.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Titolo1"/>
      </w:pPr>
      <w:r>
        <w:t>Results</w:t>
      </w:r>
    </w:p>
    <w:p w14:paraId="27749241" w14:textId="2E53DB02" w:rsidR="00E96A59" w:rsidRPr="00E96A59" w:rsidRDefault="001A4C78" w:rsidP="00E96A59">
      <w:pPr>
        <w:pStyle w:val="Titolo2"/>
      </w:pPr>
      <w:r>
        <w:t>R</w:t>
      </w:r>
      <w:r w:rsidR="00E96A59">
        <w:t>eliability</w:t>
      </w:r>
    </w:p>
    <w:p w14:paraId="4D3E9E61" w14:textId="611A45F1" w:rsidR="002D03F1" w:rsidRDefault="002D03F1" w:rsidP="002D03F1">
      <w:r>
        <w:t xml:space="preserve">Across all lead times and all VRTs, multiple-WT ecPoint shows the highest forecast reliability for point verification. This can be seen from the orange line (Multiple-WT ecPoint) in </w:t>
      </w:r>
      <w:r>
        <w:fldChar w:fldCharType="begin"/>
      </w:r>
      <w:r>
        <w:instrText xml:space="preserve"> REF _Ref153581531 \h </w:instrText>
      </w:r>
      <w:r>
        <w:fldChar w:fldCharType="separate"/>
      </w:r>
      <w:r w:rsidRPr="0076299D">
        <w:rPr>
          <w:b/>
          <w:bCs/>
        </w:rPr>
        <w:t xml:space="preserve">Figure </w:t>
      </w:r>
      <w:r>
        <w:rPr>
          <w:b/>
          <w:bCs/>
          <w:noProof/>
        </w:rPr>
        <w:t>4</w:t>
      </w:r>
      <w:r>
        <w:fldChar w:fldCharType="end"/>
      </w:r>
      <w:r>
        <w:t xml:space="preserve"> lying below the green (ENS) and grey (Single-WT ecPoint) lines. For VRT = 0.2 mm/12h, the reliability for single-WT ecPoint is similar to that for multiple-WT ecPoint. It gradually worsens with increasing VRTs until it shows the worst reliability out of the three forecasting systems for VRT = 50 mm/12h.</w:t>
      </w:r>
    </w:p>
    <w:p w14:paraId="4A64B4D4" w14:textId="4BE5221C" w:rsidR="002D03F1" w:rsidRDefault="00754043" w:rsidP="002D03F1">
      <w:r>
        <w:t>The r</w:t>
      </w:r>
      <w:r w:rsidR="002D03F1">
        <w:t xml:space="preserve">eliability differences between the three forecasting systems and their statistical significance (at 99% confidence level) diminish with increasing VRTs. The uncertainty in </w:t>
      </w:r>
      <w:r w:rsidR="006B52D0">
        <w:t xml:space="preserve">the </w:t>
      </w:r>
      <w:r w:rsidR="002D03F1">
        <w:t>forecast reliability estimates also increases with increasing VRTs, but it is more prominent for ENS and single-WT ecPoint. It is also worth noting that, in VRT = 50 mm/12h, multiple-WT ecPoint shows uncertainty peaks in steps corresponding to accumulation periods ending at 12 UTC.</w:t>
      </w:r>
    </w:p>
    <w:p w14:paraId="03493D5E" w14:textId="6CD28C4B" w:rsidR="007C3928" w:rsidRDefault="002D03F1" w:rsidP="002D03F1">
      <w:r>
        <w:t>Forecasts' reliability as a function of lead time displays a sinusoidal pattern, especially for ENS and VRT = 0.2 mm/12h. The sinusoidal pattern indicates</w:t>
      </w:r>
      <w:r w:rsidR="001938CA">
        <w:t xml:space="preserve"> that</w:t>
      </w:r>
      <w:r>
        <w:t xml:space="preserve"> reliability worsens for specific accumulation periods (ending at 12 and 18 UTC). Both post-processed forecasts show a much more reduced sinusoidal pattern, with multiple-WT ecPoint showing the most linear trend (although with increasing noise for VRT = 25 and 50 mm/12h). Multiple-WT ecPoint also exhibits the most horizontal trend out of the three systems, meaning that reliability does not change significantly with lead time.</w:t>
      </w:r>
    </w:p>
    <w:p w14:paraId="17A45C17" w14:textId="0F395747" w:rsidR="00E96A59" w:rsidRDefault="001A4C78" w:rsidP="00E96A59">
      <w:pPr>
        <w:pStyle w:val="Titolo2"/>
      </w:pPr>
      <w:r>
        <w:t>D</w:t>
      </w:r>
      <w:r w:rsidR="00E940F8">
        <w:t>iscrimination ability</w:t>
      </w:r>
    </w:p>
    <w:p w14:paraId="692202BD" w14:textId="288EA637" w:rsidR="00450DC8" w:rsidRDefault="00450DC8" w:rsidP="006A0314">
      <w:r>
        <w:t xml:space="preserve">Across all lead times and VRTs, multiple-WT (orange continuous lines in </w:t>
      </w:r>
      <w:bookmarkStart w:id="4" w:name="_Hlk153696368"/>
      <w:r w:rsidR="00BB7749">
        <w:fldChar w:fldCharType="begin"/>
      </w:r>
      <w:r w:rsidR="00BB7749">
        <w:instrText xml:space="preserve"> REF _Ref153358855 \h </w:instrText>
      </w:r>
      <w:r w:rsidR="00BB7749">
        <w:fldChar w:fldCharType="separate"/>
      </w:r>
      <w:r w:rsidR="00BB7749" w:rsidRPr="00C10BAC">
        <w:rPr>
          <w:b/>
          <w:bCs/>
        </w:rPr>
        <w:t xml:space="preserve">Figure </w:t>
      </w:r>
      <w:r w:rsidR="00BB7749">
        <w:rPr>
          <w:b/>
          <w:bCs/>
          <w:noProof/>
        </w:rPr>
        <w:t>5</w:t>
      </w:r>
      <w:r w:rsidR="00BB7749">
        <w:fldChar w:fldCharType="end"/>
      </w:r>
      <w:bookmarkEnd w:id="4"/>
      <w:r>
        <w:t>) and single-WT ecPoint (grey continuous lines) show larger AROCt values than ENS (green continuous lines). For VRT = 0.2 mm/12h (Figure 5a), the AROCt lines for all three forecasting systems overlap. As VRTs increase (</w:t>
      </w:r>
      <w:r w:rsidR="006A0314">
        <w:fldChar w:fldCharType="begin"/>
      </w:r>
      <w:r w:rsidR="006A0314">
        <w:instrText xml:space="preserve"> REF _Ref153358855 \h </w:instrText>
      </w:r>
      <w:r w:rsidR="006A0314">
        <w:fldChar w:fldCharType="separate"/>
      </w:r>
      <w:r w:rsidR="006A0314" w:rsidRPr="00C10BAC">
        <w:rPr>
          <w:b/>
          <w:bCs/>
        </w:rPr>
        <w:t xml:space="preserve">Figure </w:t>
      </w:r>
      <w:r w:rsidR="006A0314">
        <w:rPr>
          <w:b/>
          <w:bCs/>
          <w:noProof/>
        </w:rPr>
        <w:t>5</w:t>
      </w:r>
      <w:r w:rsidR="006A0314">
        <w:fldChar w:fldCharType="end"/>
      </w:r>
      <w:r w:rsidR="006A0314">
        <w:rPr>
          <w:b/>
          <w:bCs/>
        </w:rPr>
        <w:t>b, c, d</w:t>
      </w:r>
      <w:r w:rsidR="006A0314">
        <w:t>)</w:t>
      </w:r>
      <w:r>
        <w:t>, the difference between AROCt values for both post-processed forecasts and ENS increases and remains significant at the 99% confidence level. On the other hand, the difference between multiple-WT and single-WT ecPoint is much smaller and not significant.</w:t>
      </w:r>
    </w:p>
    <w:p w14:paraId="3F95F6F3" w14:textId="1354AEEA" w:rsidR="00450DC8" w:rsidRDefault="00450DC8" w:rsidP="00724A7B">
      <w:r>
        <w:t xml:space="preserve">For all lead times and VRTs, AROCz values for all three forecasting systems (dashed lines in </w:t>
      </w:r>
      <w:r w:rsidR="00724A7B">
        <w:fldChar w:fldCharType="begin"/>
      </w:r>
      <w:r w:rsidR="00724A7B">
        <w:instrText xml:space="preserve"> REF _Ref153358855 \h </w:instrText>
      </w:r>
      <w:r w:rsidR="00724A7B">
        <w:fldChar w:fldCharType="separate"/>
      </w:r>
      <w:r w:rsidR="00724A7B" w:rsidRPr="00C10BAC">
        <w:rPr>
          <w:b/>
          <w:bCs/>
        </w:rPr>
        <w:t xml:space="preserve">Figure </w:t>
      </w:r>
      <w:r w:rsidR="00724A7B">
        <w:rPr>
          <w:b/>
          <w:bCs/>
          <w:noProof/>
        </w:rPr>
        <w:t>5</w:t>
      </w:r>
      <w:r w:rsidR="00724A7B">
        <w:fldChar w:fldCharType="end"/>
      </w:r>
      <w:r w:rsidR="00724A7B">
        <w:t>)</w:t>
      </w:r>
      <w:r>
        <w:t xml:space="preserve"> are larger than AROCt. Their differences also appear to be small and not significant at the 99% confidence level. For VRT = 0.2 and 10 mm/12h, the uncertainty in the AROCz estimates is similar to that for AROCt but increases significantly for larger VRTs. In particular, the uncertainty in the estimates of AROCz for ENS for VRT = 50 mm/12h is the largest observed. </w:t>
      </w:r>
    </w:p>
    <w:p w14:paraId="72A50785" w14:textId="0C795197" w:rsidR="00450DC8" w:rsidRDefault="00450DC8" w:rsidP="00DC3B1D">
      <w:r>
        <w:t xml:space="preserve">The AROCt line for the multiple-WT ecPoint remains above to that for the single-WT ecPoint for all VRTs, except for VRT = 50 mm/12h (respectively, orange and grey continuous lines in </w:t>
      </w:r>
      <w:r w:rsidR="00632814">
        <w:fldChar w:fldCharType="begin"/>
      </w:r>
      <w:r w:rsidR="00632814">
        <w:instrText xml:space="preserve"> REF _Ref153358855 \h </w:instrText>
      </w:r>
      <w:r w:rsidR="00632814">
        <w:fldChar w:fldCharType="separate"/>
      </w:r>
      <w:r w:rsidR="00632814" w:rsidRPr="00C10BAC">
        <w:rPr>
          <w:b/>
          <w:bCs/>
        </w:rPr>
        <w:t xml:space="preserve">Figure </w:t>
      </w:r>
      <w:r w:rsidR="00632814">
        <w:rPr>
          <w:b/>
          <w:bCs/>
          <w:noProof/>
        </w:rPr>
        <w:t>5</w:t>
      </w:r>
      <w:r w:rsidR="00632814">
        <w:fldChar w:fldCharType="end"/>
      </w:r>
      <w:r w:rsidR="00632814">
        <w:rPr>
          <w:b/>
          <w:bCs/>
        </w:rPr>
        <w:t>d</w:t>
      </w:r>
      <w:r w:rsidR="00632814">
        <w:t>)</w:t>
      </w:r>
      <w:r>
        <w:t xml:space="preserve">. However, the relative position of the correspondent AROCz lines is swapped (orange and grey dashed lines). </w:t>
      </w:r>
      <w:r w:rsidR="00115CE3">
        <w:fldChar w:fldCharType="begin"/>
      </w:r>
      <w:r w:rsidR="00115CE3">
        <w:instrText xml:space="preserve"> REF _Ref153398561 \h </w:instrText>
      </w:r>
      <w:r w:rsidR="00115CE3">
        <w:fldChar w:fldCharType="separate"/>
      </w:r>
      <w:r w:rsidR="00115CE3" w:rsidRPr="00674A6A">
        <w:rPr>
          <w:b/>
          <w:bCs/>
        </w:rPr>
        <w:t xml:space="preserve">Figure </w:t>
      </w:r>
      <w:r w:rsidR="00115CE3">
        <w:rPr>
          <w:b/>
          <w:bCs/>
          <w:noProof/>
        </w:rPr>
        <w:t>6</w:t>
      </w:r>
      <w:r w:rsidR="00115CE3">
        <w:fldChar w:fldCharType="end"/>
      </w:r>
      <w:r w:rsidR="00115CE3">
        <w:t xml:space="preserve"> </w:t>
      </w:r>
      <w:r>
        <w:t xml:space="preserve">shows real (continuous lines) and binormal (dashed lines) ROC curves for the three forecasting systems, for VRT = 50 mm/12h and accumulation period ending at t+126 (i.e., day 5 forecast). </w:t>
      </w:r>
      <w:r w:rsidR="005B5B58">
        <w:fldChar w:fldCharType="begin"/>
      </w:r>
      <w:r w:rsidR="005B5B58">
        <w:instrText xml:space="preserve"> REF _Ref153398561 \h </w:instrText>
      </w:r>
      <w:r w:rsidR="005B5B58">
        <w:fldChar w:fldCharType="separate"/>
      </w:r>
      <w:r w:rsidR="005B5B58" w:rsidRPr="00674A6A">
        <w:rPr>
          <w:b/>
          <w:bCs/>
        </w:rPr>
        <w:t xml:space="preserve">Figure </w:t>
      </w:r>
      <w:r w:rsidR="005B5B58">
        <w:rPr>
          <w:b/>
          <w:bCs/>
          <w:noProof/>
        </w:rPr>
        <w:t>6</w:t>
      </w:r>
      <w:r w:rsidR="005B5B58">
        <w:fldChar w:fldCharType="end"/>
      </w:r>
      <w:r w:rsidR="005B5B58">
        <w:t xml:space="preserve"> </w:t>
      </w:r>
      <w:r>
        <w:t xml:space="preserve">shows that the last meaningful point in the real ROC curve for single-WT ecPoint (point A) is located higher up and to the right of the last meaningful point of the real ROC curve for multiple-WT ecPoint (point B). </w:t>
      </w:r>
      <w:r>
        <w:lastRenderedPageBreak/>
        <w:t xml:space="preserve">Although this makes AROCt for single-WT ecPoint (=0.82) bigger than that for multiple-WT ecPoint (=0.79), this also shows that the higher rate of detection from single-WT ecPoint comes at the cost of a higher rate of false alarms. Due to the position of A and B, the binormal approximation of the continuation of the ROC curve for single-WT ecPoint (grey dashed line in </w:t>
      </w:r>
      <w:r w:rsidR="00DC3B1D">
        <w:fldChar w:fldCharType="begin"/>
      </w:r>
      <w:r w:rsidR="00DC3B1D">
        <w:instrText xml:space="preserve"> REF _Ref153398561 \h </w:instrText>
      </w:r>
      <w:r w:rsidR="00DC3B1D">
        <w:fldChar w:fldCharType="separate"/>
      </w:r>
      <w:r w:rsidR="00DC3B1D" w:rsidRPr="00674A6A">
        <w:rPr>
          <w:b/>
          <w:bCs/>
        </w:rPr>
        <w:t xml:space="preserve">Figure </w:t>
      </w:r>
      <w:r w:rsidR="00DC3B1D">
        <w:rPr>
          <w:b/>
          <w:bCs/>
          <w:noProof/>
        </w:rPr>
        <w:t>6</w:t>
      </w:r>
      <w:r w:rsidR="00DC3B1D">
        <w:fldChar w:fldCharType="end"/>
      </w:r>
      <w:r w:rsidR="00DC3B1D">
        <w:t>)</w:t>
      </w:r>
      <w:r>
        <w:t xml:space="preserve"> lies to the right of the binormal ROC for Multiple-WT ecPoint (orange dashed line) so that AROCz for single-WT ecPoint (=0.938) results smaller than the AROCz for multiple-WT ecPoint (=0.946).</w:t>
      </w:r>
    </w:p>
    <w:p w14:paraId="6887E9ED" w14:textId="52674D2F" w:rsidR="001050F8" w:rsidRDefault="00342A7D" w:rsidP="001050F8">
      <w:pPr>
        <w:pStyle w:val="Titolo1"/>
      </w:pPr>
      <w:r>
        <w:t>Case study: extreme rainfall and flash floods in China in July 2021</w:t>
      </w:r>
    </w:p>
    <w:p w14:paraId="3CA1C3A1" w14:textId="52244476" w:rsidR="0015727C" w:rsidRPr="00E3139F" w:rsidRDefault="0015727C" w:rsidP="00423749">
      <w:r w:rsidRPr="00E3139F">
        <w:t xml:space="preserve">China's Henan Province experienced flooding between 17 and 31 July 2021 as a result of heavy rainfall. On July 20, Zhengzhou, the provincial capital, recorded 201.9 millimetres of rain between 4 and 5 pm local time (the highest ever figure recorded since measurements began in 1951), and between 00 and 12 UTC, 465.8 mm were observed </w:t>
      </w:r>
      <w:r w:rsidR="00CB08A6">
        <w:t>(</w:t>
      </w:r>
      <w:r w:rsidR="00CB08A6">
        <w:fldChar w:fldCharType="begin"/>
      </w:r>
      <w:r w:rsidR="00CB08A6">
        <w:instrText xml:space="preserve"> REF _Ref153400658 \h </w:instrText>
      </w:r>
      <w:r w:rsidR="00CB08A6">
        <w:fldChar w:fldCharType="separate"/>
      </w:r>
      <w:r w:rsidR="00CB08A6" w:rsidRPr="00F77450">
        <w:rPr>
          <w:b/>
          <w:bCs/>
        </w:rPr>
        <w:t xml:space="preserve">Figure </w:t>
      </w:r>
      <w:r w:rsidR="00CB08A6" w:rsidRPr="00F77450">
        <w:rPr>
          <w:b/>
          <w:bCs/>
          <w:noProof/>
        </w:rPr>
        <w:t>7</w:t>
      </w:r>
      <w:r w:rsidR="00CB08A6">
        <w:fldChar w:fldCharType="end"/>
      </w:r>
      <w:r w:rsidR="00423749">
        <w:t xml:space="preserve">, </w:t>
      </w:r>
      <w:r w:rsidRPr="00423749">
        <w:t xml:space="preserve">top right panel). </w:t>
      </w:r>
      <w:r w:rsidRPr="00E3139F">
        <w:t xml:space="preserve">Over the course of three days, between 20:00 on 17 July to 20:00 on 20 July, 617.1 mm of rain was recorded, nearing the usual average yearly precipitation. The floods caused the evacuation of 815,000 people and affected 14.5 million people around the province. The death toll reached the 398 deaths.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(top left panel) shows some of the flood impacts. Videos emerged, showing cars floating in streets and Zhengzhou Metro passenger’s waist-deep in water inside their carriage. Many cars on a road near the Danshi Subdistrict in Nanlong Lake were washed up by the rain. The Jingguang North Road Tunnel became flooded, trapping over 200 cars within. </w:t>
      </w:r>
    </w:p>
    <w:p w14:paraId="15197E4F" w14:textId="3B917B97" w:rsidR="00342A7D" w:rsidRPr="00342A7D" w:rsidRDefault="0015727C" w:rsidP="009D5FC2">
      <w:r w:rsidRPr="00E3139F">
        <w:t xml:space="preserve">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compares the 12-hourly rainfall forecasts for ENS (first row), ecPoint_MultipleWT (second row), and ecPoint_SingleWT (third row), valid for the same period of the observations. The first three columns show the 99</w:t>
      </w:r>
      <w:r w:rsidRPr="00E3139F">
        <w:rPr>
          <w:vertAlign w:val="superscript"/>
        </w:rPr>
        <w:t>th</w:t>
      </w:r>
      <w:r w:rsidRPr="00E3139F">
        <w:t xml:space="preserve"> percentile for day 5, 3, and 1 forecasts (from left to right). Focusing on the Zhengzhou area (within the black circle), the rainfall forecasts from ecPoint_SingleWT significantly overestimate the observed rainfall totals (&gt;700 mm/12h, when the highest record was 465.8 mm/12h). On the contrary, ecPoint_MultipleWT appears to be more reliable providing a forecast that is of the same order of magnitude of the observations, even though forecasting a bit less rain than what observed (~ 400 mm/12h). ENS predicts well in advance (up to day 5) that the areas around Zhengzhou might receive some high rainfall totals. This shows that ENS is capable to identify areas at risk of flash floods. However, the absolute rainfall forecasts (up to 150 mm/12h) were underestimated by a factor of three. The fourth column of 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shows the probability of having less than 0.2 mm/12 (i.e., having no rain) for day 1 forecasts south-west of Zhengzhou (blue circle). ENS overestimates significantly the small-to-zero rainfall amounts, showing zero probability of having no rain. This is a typically observed condition during convective rain. ecPoint_SingleWT </w:t>
      </w:r>
      <w:r w:rsidRPr="00F707CB">
        <w:t>shows much smaller probabilities</w:t>
      </w:r>
      <w:r w:rsidRPr="00E3139F">
        <w:t xml:space="preserve"> than ecPoint_MultipleWT</w:t>
      </w:r>
      <w:r w:rsidRPr="00F707CB">
        <w:t xml:space="preserve"> of having no rain (between 20 an</w:t>
      </w:r>
      <w:r w:rsidRPr="00E3139F">
        <w:t>d</w:t>
      </w:r>
      <w:r w:rsidRPr="00F707CB">
        <w:t xml:space="preserve"> 25% instead of 50 to 80%). Therefore, the</w:t>
      </w:r>
      <w:r w:rsidRPr="00E3139F">
        <w:t xml:space="preserve"> latter </w:t>
      </w:r>
      <w:r w:rsidRPr="00F707CB">
        <w:t>verif</w:t>
      </w:r>
      <w:r w:rsidRPr="00E3139F">
        <w:t>ies</w:t>
      </w:r>
      <w:r w:rsidRPr="00F707CB">
        <w:t xml:space="preserve"> better. </w:t>
      </w:r>
    </w:p>
    <w:p w14:paraId="60F8E3DE" w14:textId="2D160599" w:rsidR="00730FEF" w:rsidRDefault="00730FEF" w:rsidP="00730FEF">
      <w:pPr>
        <w:pStyle w:val="Titolo1"/>
      </w:pPr>
      <w:r w:rsidRPr="008167CE">
        <w:t>Discussions</w:t>
      </w:r>
    </w:p>
    <w:p w14:paraId="6DF70092" w14:textId="77777777" w:rsidR="008D684E" w:rsidRDefault="008D684E" w:rsidP="008D684E"/>
    <w:p w14:paraId="17B7105D" w14:textId="74FE07BE" w:rsidR="008D684E" w:rsidRDefault="008D684E" w:rsidP="008D684E">
      <w:r w:rsidRPr="008D684E">
        <w:t>Although raw NWP model output does not pertain to point values, it is common practice to verify gridded forecasts against point-rainfall observations (Haiden et al. 2023).</w:t>
      </w:r>
    </w:p>
    <w:p w14:paraId="28B06915" w14:textId="77777777" w:rsidR="008D684E" w:rsidRPr="008D684E" w:rsidRDefault="008D684E" w:rsidP="008D684E"/>
    <w:p w14:paraId="145BBE69" w14:textId="39AA6F5F" w:rsidR="003C18EB" w:rsidRPr="00E3139F" w:rsidRDefault="003C18EB" w:rsidP="003C18EB">
      <w:r w:rsidRPr="00E3139F">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Content>
          <w:r w:rsidR="00A06B07" w:rsidRPr="00A06B07">
            <w:rPr>
              <w:color w:val="000000"/>
            </w:rPr>
            <w:t>(2020)</w:t>
          </w:r>
        </w:sdtContent>
      </w:sdt>
      <w:r w:rsidRPr="00E3139F">
        <w:t>.</w:t>
      </w:r>
      <w:r w:rsidRPr="00E3139F">
        <w:rPr>
          <w:b/>
          <w:bCs/>
        </w:rPr>
        <w:t xml:space="preserve"> </w:t>
      </w:r>
    </w:p>
    <w:p w14:paraId="6B058C83" w14:textId="7A2AD27C" w:rsidR="003C18EB" w:rsidRPr="003C18EB" w:rsidRDefault="003C18EB" w:rsidP="003C18EB">
      <w:pPr>
        <w:rPr>
          <w:u w:val="single"/>
        </w:rPr>
      </w:pPr>
      <w:r w:rsidRPr="00E3139F">
        <w:t xml:space="preserve">The observed sinusoidal pattern in the BSrel diagrams for ENS can be attributed to the current handling of the diurnal cycle in the ECMWF model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
          <w:id w:val="-2025474146"/>
          <w:placeholder>
            <w:docPart w:val="49436C45758B4B5BB8E3098B3A140691"/>
          </w:placeholder>
        </w:sdtPr>
        <w:sdtContent>
          <w:r w:rsidR="00A06B07" w:rsidRPr="00A06B07">
            <w:rPr>
              <w:color w:val="000000"/>
            </w:rPr>
            <w:t>(Bechtold et al. 2014)</w:t>
          </w:r>
        </w:sdtContent>
      </w:sdt>
      <w:r w:rsidRPr="00E3139F">
        <w:rPr>
          <w:color w:val="000000"/>
        </w:rPr>
        <w:t>. ENS convective rainfall have been found to perform in a more unrealistic manner during daytime</w:t>
      </w:r>
      <w:r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49436C45758B4B5BB8E3098B3A140691"/>
          </w:placeholder>
        </w:sdtPr>
        <w:sdtContent>
          <w:r w:rsidR="00A06B07">
            <w:rPr>
              <w:rFonts w:eastAsia="Times New Roman"/>
            </w:rPr>
            <w:t>(Section 9.6. Convective precipitation. Owens &amp; Hewson, 2018)</w:t>
          </w:r>
        </w:sdtContent>
      </w:sdt>
      <w:r w:rsidRPr="00E3139F">
        <w:t xml:space="preserve">. Although nighttime 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F157D738D28D4F8B97B14AF933BD2D91"/>
          </w:placeholder>
        </w:sdtPr>
        <w:sdtContent>
          <w:r w:rsidR="00A06B07">
            <w:rPr>
              <w:rFonts w:eastAsia="Times New Roman"/>
            </w:rPr>
            <w:t>(Section 2.1.5.4. Convective precipitation. Owens &amp; Hewson, 2018)</w:t>
          </w:r>
        </w:sdtContent>
      </w:sdt>
      <w:r w:rsidRPr="00E3139F">
        <w:t xml:space="preserve">, having </w:t>
      </w:r>
      <w:r w:rsidRPr="00E3139F">
        <w:rPr>
          <w:color w:val="000000"/>
        </w:rPr>
        <w:t>t</w:t>
      </w:r>
      <w:r w:rsidRPr="00E3139F">
        <w:t>he crests (i.e., worse reliability) over daytime accumulation periods and the throughs (i.e., better reliability) over nighttime accumulation periods is found to be plausible. Addressing general representativeness errors in ecPoint_SingleWT or using specific diurnal-cycle-related errors distributions in ecPoint_MultipleWT (accounting for them using a predictor that represents daily accumulation of solar radiation) improves the shortcomings in ENS rainfall forecasts. The sinusoidal pattern is indeed significantly smoothed out for both post-processed rainfall forecasts. However, ecPoint_MultipleWT remains smoother as the VREs increase thanks to a more target approach aimed to specifically tackle the diurnal cycle issues, excluding noise effects due to small sample sizes for very large VREs.</w:t>
      </w:r>
    </w:p>
    <w:p w14:paraId="46CCFD97" w14:textId="42FA781A" w:rsidR="008167CE" w:rsidRDefault="00730FEF" w:rsidP="00361B4A">
      <w:pPr>
        <w:pStyle w:val="Titolo1"/>
      </w:pPr>
      <w:r w:rsidRPr="008167CE">
        <w:lastRenderedPageBreak/>
        <w:t>Conclusions</w:t>
      </w:r>
      <w:bookmarkStart w:id="5"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6"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6"/>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7" w:name="_tyjcwt" w:colFirst="0" w:colLast="0"/>
      <w:bookmarkEnd w:id="7"/>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8" w:name="funding_statement"/>
    </w:p>
    <w:p w14:paraId="3744A3CD" w14:textId="064CBE0C" w:rsidR="00D10F45" w:rsidRPr="00E3139F" w:rsidRDefault="000E785A" w:rsidP="00D10F45">
      <w:pPr>
        <w:keepNext/>
        <w:ind w:firstLine="0"/>
      </w:pPr>
      <w:r>
        <w:rPr>
          <w:noProof/>
        </w:rPr>
        <w:drawing>
          <wp:inline distT="0" distB="0" distL="0" distR="0" wp14:anchorId="4923890F" wp14:editId="66BC2F87">
            <wp:extent cx="6299835" cy="5672455"/>
            <wp:effectExtent l="0" t="0" r="5715" b="4445"/>
            <wp:docPr id="540912751" name="Immagine 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2751" name="Immagine 4"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7D5DE141" w:rsidR="007538A7" w:rsidRDefault="00D10F45" w:rsidP="003D42D7">
      <w:pPr>
        <w:pStyle w:val="CaptionFigures"/>
      </w:pPr>
      <w:bookmarkStart w:id="9"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106E7A">
        <w:rPr>
          <w:b/>
          <w:bCs/>
          <w:noProof/>
        </w:rPr>
        <w:t>1</w:t>
      </w:r>
      <w:r w:rsidRPr="00E3139F">
        <w:rPr>
          <w:b/>
          <w:bCs/>
        </w:rPr>
        <w:fldChar w:fldCharType="end"/>
      </w:r>
      <w:bookmarkEnd w:id="9"/>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1CA915AA" w14:textId="55E95DA6" w:rsidR="00E364DF" w:rsidRDefault="007538A7" w:rsidP="001B57BE">
      <w:pPr>
        <w:pStyle w:val="CaptionFigures"/>
      </w:pPr>
      <w:bookmarkStart w:id="10"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106E7A">
        <w:rPr>
          <w:b/>
          <w:bCs/>
          <w:noProof/>
        </w:rPr>
        <w:t>2</w:t>
      </w:r>
      <w:r w:rsidRPr="00371AD4">
        <w:rPr>
          <w:b/>
          <w:bCs/>
        </w:rPr>
        <w:fldChar w:fldCharType="end"/>
      </w:r>
      <w:bookmarkEnd w:id="10"/>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72A7352B" w14:textId="77777777" w:rsidR="00106E7A" w:rsidRDefault="00106E7A" w:rsidP="001B57BE">
      <w:pPr>
        <w:pStyle w:val="CaptionFigures"/>
        <w:sectPr w:rsidR="00106E7A" w:rsidSect="003F0B24">
          <w:pgSz w:w="11906" w:h="16838"/>
          <w:pgMar w:top="851" w:right="851" w:bottom="851" w:left="1134" w:header="709" w:footer="709" w:gutter="0"/>
          <w:lnNumType w:countBy="1" w:restart="continuous"/>
          <w:cols w:space="708"/>
          <w:docGrid w:linePitch="360"/>
        </w:sectPr>
      </w:pPr>
    </w:p>
    <w:p w14:paraId="7059FCB2" w14:textId="707F2C25" w:rsidR="00106E7A" w:rsidRDefault="00761BDE" w:rsidP="00106E7A">
      <w:pPr>
        <w:pStyle w:val="CaptionFigures"/>
        <w:keepNext/>
      </w:pPr>
      <w:r>
        <w:rPr>
          <w:noProof/>
        </w:rPr>
        <w:lastRenderedPageBreak/>
        <w:drawing>
          <wp:inline distT="0" distB="0" distL="0" distR="0" wp14:anchorId="59CD7E34" wp14:editId="710DDB81">
            <wp:extent cx="6156973" cy="3078486"/>
            <wp:effectExtent l="0" t="0" r="0" b="7620"/>
            <wp:docPr id="2058339650" name="Immagine 3"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650" name="Immagine 3" descr="Immagine che contiene testo, diagramma, mapp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73" cy="3078486"/>
                    </a:xfrm>
                    <a:prstGeom prst="rect">
                      <a:avLst/>
                    </a:prstGeom>
                  </pic:spPr>
                </pic:pic>
              </a:graphicData>
            </a:graphic>
          </wp:inline>
        </w:drawing>
      </w:r>
    </w:p>
    <w:p w14:paraId="0E31BFA7" w14:textId="37BDA9D8" w:rsidR="001B57BE" w:rsidRPr="00D10F45" w:rsidRDefault="00106E7A" w:rsidP="00A50FE7">
      <w:pPr>
        <w:pStyle w:val="CaptionFigures"/>
        <w:sectPr w:rsidR="001B57BE" w:rsidRPr="00D10F45" w:rsidSect="003F0B24">
          <w:pgSz w:w="11906" w:h="16838"/>
          <w:pgMar w:top="851" w:right="851" w:bottom="851" w:left="1134" w:header="709" w:footer="709" w:gutter="0"/>
          <w:lnNumType w:countBy="1" w:restart="continuous"/>
          <w:cols w:space="708"/>
          <w:docGrid w:linePitch="360"/>
        </w:sectPr>
      </w:pPr>
      <w:bookmarkStart w:id="11" w:name="_Ref153551553"/>
      <w:r w:rsidRPr="00A50FE7">
        <w:rPr>
          <w:b/>
          <w:bCs/>
        </w:rPr>
        <w:t xml:space="preserve">Figure </w:t>
      </w:r>
      <w:r w:rsidRPr="00A50FE7">
        <w:rPr>
          <w:b/>
          <w:bCs/>
        </w:rPr>
        <w:fldChar w:fldCharType="begin"/>
      </w:r>
      <w:r w:rsidRPr="00A50FE7">
        <w:rPr>
          <w:b/>
          <w:bCs/>
        </w:rPr>
        <w:instrText xml:space="preserve"> SEQ Figure \* ARABIC </w:instrText>
      </w:r>
      <w:r w:rsidRPr="00A50FE7">
        <w:rPr>
          <w:b/>
          <w:bCs/>
        </w:rPr>
        <w:fldChar w:fldCharType="separate"/>
      </w:r>
      <w:r w:rsidRPr="00A50FE7">
        <w:rPr>
          <w:b/>
          <w:bCs/>
          <w:noProof/>
        </w:rPr>
        <w:t>3</w:t>
      </w:r>
      <w:r w:rsidRPr="00A50FE7">
        <w:rPr>
          <w:b/>
          <w:bCs/>
        </w:rPr>
        <w:fldChar w:fldCharType="end"/>
      </w:r>
      <w:bookmarkEnd w:id="11"/>
      <w:r>
        <w:t xml:space="preserve"> </w:t>
      </w:r>
      <w:r w:rsidR="00A50FE7">
        <w:t>–</w:t>
      </w:r>
      <w:r>
        <w:t xml:space="preserve"> </w:t>
      </w:r>
      <w:r w:rsidR="00A50FE7">
        <w:t xml:space="preserve">Example of rain gauge locations  for observations starting at 0, 6, 12, and 18 UTC. </w:t>
      </w: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306A1DCA" w:rsidR="001A5391" w:rsidRDefault="0076299D" w:rsidP="006F0678">
      <w:pPr>
        <w:pStyle w:val="CaptionFigures"/>
      </w:pPr>
      <w:bookmarkStart w:id="12" w:name="_Ref153581531"/>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106E7A">
        <w:rPr>
          <w:b/>
          <w:bCs/>
          <w:noProof/>
        </w:rPr>
        <w:t>4</w:t>
      </w:r>
      <w:r w:rsidRPr="0076299D">
        <w:rPr>
          <w:b/>
          <w:bCs/>
        </w:rPr>
        <w:fldChar w:fldCharType="end"/>
      </w:r>
      <w:bookmarkEnd w:id="12"/>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48186C4F" w:rsidR="00E17918" w:rsidRDefault="00E17918" w:rsidP="006F0678">
      <w:pPr>
        <w:pStyle w:val="CaptionFigures"/>
      </w:pPr>
      <w:bookmarkStart w:id="13"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106E7A">
        <w:rPr>
          <w:b/>
          <w:bCs/>
          <w:noProof/>
        </w:rPr>
        <w:t>5</w:t>
      </w:r>
      <w:r w:rsidRPr="00C10BAC">
        <w:rPr>
          <w:b/>
          <w:bCs/>
        </w:rPr>
        <w:fldChar w:fldCharType="end"/>
      </w:r>
      <w:bookmarkEnd w:id="13"/>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603ECD78" w:rsidR="00A56347" w:rsidRDefault="00C67123" w:rsidP="00C9166B">
      <w:pPr>
        <w:pStyle w:val="CaptionFigures"/>
        <w:keepNext/>
        <w:jc w:val="center"/>
      </w:pPr>
      <w:r>
        <w:rPr>
          <w:noProof/>
        </w:rPr>
        <w:lastRenderedPageBreak/>
        <w:drawing>
          <wp:inline distT="0" distB="0" distL="0" distR="0" wp14:anchorId="645D6AC1" wp14:editId="0E85C1C4">
            <wp:extent cx="3383287" cy="3493015"/>
            <wp:effectExtent l="0" t="0" r="7620" b="0"/>
            <wp:docPr id="60734748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7483" name="Immagine 1" descr="Immagine che contiene testo, line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729C3848" w:rsidR="00E07D02" w:rsidRDefault="00A56347" w:rsidP="00C379EC">
      <w:pPr>
        <w:pStyle w:val="CaptionFigures"/>
      </w:pPr>
      <w:bookmarkStart w:id="14"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106E7A">
        <w:rPr>
          <w:b/>
          <w:bCs/>
          <w:noProof/>
        </w:rPr>
        <w:t>6</w:t>
      </w:r>
      <w:r w:rsidRPr="00674A6A">
        <w:rPr>
          <w:b/>
          <w:bCs/>
        </w:rPr>
        <w:fldChar w:fldCharType="end"/>
      </w:r>
      <w:bookmarkEnd w:id="14"/>
      <w:r>
        <w:t xml:space="preserve"> </w:t>
      </w:r>
      <w:r w:rsidR="00C14FC0">
        <w:t>–</w:t>
      </w:r>
      <w:r>
        <w:t xml:space="preserve"> </w:t>
      </w:r>
      <w:r w:rsidR="00251527">
        <w:t xml:space="preserve">Real (continuous lines) and binormal (dashed lines) </w:t>
      </w:r>
      <w:r w:rsidR="00C14FC0">
        <w:t>ROC curves</w:t>
      </w:r>
      <w:r w:rsidR="004E3A2D">
        <w:t xml:space="preserve"> for ENS (green), Multiple-WT ecPoint (orange) and </w:t>
      </w:r>
      <w:r w:rsidR="00674A6A">
        <w:t>Single-WT ecPoint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r w:rsidR="00846A65">
        <w:t xml:space="preserve"> A and B indicate the last meaningful point in the real ROC curves</w:t>
      </w:r>
      <w:r w:rsidR="005111C1">
        <w:t>, respectively, for single-WT and multiple-WT ecPoint.</w:t>
      </w:r>
    </w:p>
    <w:p w14:paraId="36214AA7" w14:textId="77777777" w:rsidR="003B0E3D" w:rsidRDefault="00F845BA" w:rsidP="00F77450">
      <w:pPr>
        <w:pStyle w:val="CaptionFigures"/>
        <w:keepNext/>
        <w:ind w:firstLine="0"/>
        <w:jc w:val="center"/>
      </w:pPr>
      <w:r>
        <w:rPr>
          <w:noProof/>
        </w:rPr>
        <w:lastRenderedPageBreak/>
        <w:drawing>
          <wp:inline distT="0" distB="0" distL="0" distR="0" wp14:anchorId="0193E415" wp14:editId="1F796F11">
            <wp:extent cx="5755578" cy="8313420"/>
            <wp:effectExtent l="0" t="0" r="0" b="0"/>
            <wp:docPr id="4646521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2120" name="Immagine 3" descr="Immagine che contiene testo, mappa, fiore, schermat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194" cy="8320088"/>
                    </a:xfrm>
                    <a:prstGeom prst="rect">
                      <a:avLst/>
                    </a:prstGeom>
                  </pic:spPr>
                </pic:pic>
              </a:graphicData>
            </a:graphic>
          </wp:inline>
        </w:drawing>
      </w:r>
    </w:p>
    <w:p w14:paraId="7C167D8C" w14:textId="7F2BABF3"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5"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106E7A">
        <w:rPr>
          <w:b/>
          <w:bCs/>
          <w:noProof/>
        </w:rPr>
        <w:t>7</w:t>
      </w:r>
      <w:r w:rsidRPr="00F77450">
        <w:rPr>
          <w:b/>
          <w:bCs/>
        </w:rPr>
        <w:fldChar w:fldCharType="end"/>
      </w:r>
      <w:bookmarkEnd w:id="15"/>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F77450" w:rsidRPr="00E3139F">
        <w:t xml:space="preserve"> The panel’s top-left side shows images of the impacts of the flash floods in Zhengzhou (credits to China Dialogue and CNN for top and bottom image, respectively). The panel’s top-right shows 12-hourly rainfall observations valid between 0 and 12 UTC on the 20</w:t>
      </w:r>
      <w:r w:rsidR="00F77450" w:rsidRPr="00E3139F">
        <w:rPr>
          <w:vertAlign w:val="superscript"/>
        </w:rPr>
        <w:t>th</w:t>
      </w:r>
      <w:r w:rsidR="00F77450" w:rsidRPr="00E3139F">
        <w:t xml:space="preserve"> of July 2021. The bottom panel shows 12-hourly rainfall forecasts for ENS (first row), ecPoint_MultipleWT (second row), and ecPoint_SingleWT (third row) valid for the same period of the observations.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6"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6"/>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8"/>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5"/>
    </w:p>
    <w:sdt>
      <w:sdtPr>
        <w:tag w:val="MENDELEY_BIBLIOGRAPHY"/>
        <w:id w:val="247935719"/>
        <w:placeholder>
          <w:docPart w:val="DefaultPlaceholder_-1854013440"/>
        </w:placeholder>
      </w:sdtPr>
      <w:sdtContent>
        <w:p w14:paraId="15579084" w14:textId="77777777" w:rsidR="00A65B3E" w:rsidRDefault="00A65B3E">
          <w:pPr>
            <w:autoSpaceDE w:val="0"/>
            <w:autoSpaceDN w:val="0"/>
            <w:ind w:hanging="480"/>
            <w:divId w:val="1887334629"/>
            <w:rPr>
              <w:rFonts w:eastAsia="Times New Roman"/>
              <w:sz w:val="24"/>
              <w:szCs w:val="24"/>
            </w:rPr>
          </w:pPr>
          <w:r>
            <w:rPr>
              <w:rFonts w:eastAsia="Times New Roman"/>
            </w:rPr>
            <w:t xml:space="preserve">Bauer, P., P. D. Dueben, T. Hoefler, T. Quintino, T. C. Schulthess, and N. P. Wedi, 2021: The digital revolution of Earth-system science. </w:t>
          </w:r>
          <w:r>
            <w:rPr>
              <w:rFonts w:eastAsia="Times New Roman"/>
              <w:i/>
              <w:iCs/>
            </w:rPr>
            <w:t>Nat Comput Sci</w:t>
          </w:r>
          <w:r>
            <w:rPr>
              <w:rFonts w:eastAsia="Times New Roman"/>
            </w:rPr>
            <w:t xml:space="preserve">, </w:t>
          </w:r>
          <w:r>
            <w:rPr>
              <w:rFonts w:eastAsia="Times New Roman"/>
              <w:b/>
              <w:bCs/>
            </w:rPr>
            <w:t>1</w:t>
          </w:r>
          <w:r>
            <w:rPr>
              <w:rFonts w:eastAsia="Times New Roman"/>
            </w:rPr>
            <w:t>, 104–113, https://doi.org/10.1038/s43588-021-00023-0.</w:t>
          </w:r>
        </w:p>
        <w:p w14:paraId="5B4FC895" w14:textId="77777777" w:rsidR="00A65B3E" w:rsidRDefault="00A65B3E">
          <w:pPr>
            <w:autoSpaceDE w:val="0"/>
            <w:autoSpaceDN w:val="0"/>
            <w:ind w:hanging="480"/>
            <w:divId w:val="665205432"/>
            <w:rPr>
              <w:rFonts w:eastAsia="Times New Roman"/>
            </w:rPr>
          </w:pPr>
          <w:r>
            <w:rPr>
              <w:rFonts w:eastAsia="Times New Roman"/>
            </w:rPr>
            <w:t xml:space="preserve">Bechtold, P., N. Semane, P. Lopez, J. P. Chaboureau, A. Beljaars, and N. Bormann, 2014: Representing equilibrium and nonequilibrium convection in large-scale models. </w:t>
          </w:r>
          <w:r>
            <w:rPr>
              <w:rFonts w:eastAsia="Times New Roman"/>
              <w:i/>
              <w:iCs/>
            </w:rPr>
            <w:t>J Atmos Sci</w:t>
          </w:r>
          <w:r>
            <w:rPr>
              <w:rFonts w:eastAsia="Times New Roman"/>
            </w:rPr>
            <w:t xml:space="preserve">, </w:t>
          </w:r>
          <w:r>
            <w:rPr>
              <w:rFonts w:eastAsia="Times New Roman"/>
              <w:b/>
              <w:bCs/>
            </w:rPr>
            <w:t>71</w:t>
          </w:r>
          <w:r>
            <w:rPr>
              <w:rFonts w:eastAsia="Times New Roman"/>
            </w:rPr>
            <w:t>, 734–753, https://doi.org/10.1175/JAS-D-13-0163.1.</w:t>
          </w:r>
        </w:p>
        <w:p w14:paraId="1ECED18D" w14:textId="77777777" w:rsidR="00A65B3E" w:rsidRDefault="00A65B3E">
          <w:pPr>
            <w:autoSpaceDE w:val="0"/>
            <w:autoSpaceDN w:val="0"/>
            <w:ind w:hanging="480"/>
            <w:divId w:val="125895146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F49C464" w14:textId="77777777" w:rsidR="00A65B3E" w:rsidRDefault="00A65B3E">
          <w:pPr>
            <w:autoSpaceDE w:val="0"/>
            <w:autoSpaceDN w:val="0"/>
            <w:ind w:hanging="480"/>
            <w:divId w:val="1336491610"/>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4C003D0B" w14:textId="77777777" w:rsidR="00A65B3E" w:rsidRDefault="00A65B3E">
          <w:pPr>
            <w:autoSpaceDE w:val="0"/>
            <w:autoSpaceDN w:val="0"/>
            <w:ind w:hanging="480"/>
            <w:divId w:val="799689707"/>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032ADA1" w14:textId="77777777" w:rsidR="00A65B3E" w:rsidRDefault="00A65B3E">
          <w:pPr>
            <w:autoSpaceDE w:val="0"/>
            <w:autoSpaceDN w:val="0"/>
            <w:ind w:hanging="480"/>
            <w:divId w:val="274754807"/>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733BE322" w14:textId="77777777" w:rsidR="00A65B3E" w:rsidRDefault="00A65B3E">
          <w:pPr>
            <w:autoSpaceDE w:val="0"/>
            <w:autoSpaceDN w:val="0"/>
            <w:ind w:hanging="480"/>
            <w:divId w:val="1946501322"/>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5B8593E6" w14:textId="77777777" w:rsidR="00A65B3E" w:rsidRDefault="00A65B3E">
          <w:pPr>
            <w:autoSpaceDE w:val="0"/>
            <w:autoSpaceDN w:val="0"/>
            <w:ind w:hanging="480"/>
            <w:divId w:val="297539074"/>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2E87C4D5" w14:textId="77777777" w:rsidR="00A65B3E" w:rsidRDefault="00A65B3E">
          <w:pPr>
            <w:autoSpaceDE w:val="0"/>
            <w:autoSpaceDN w:val="0"/>
            <w:ind w:hanging="480"/>
            <w:divId w:val="171962449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996F6E6" w14:textId="77777777" w:rsidR="00A65B3E" w:rsidRDefault="00A65B3E">
          <w:pPr>
            <w:autoSpaceDE w:val="0"/>
            <w:autoSpaceDN w:val="0"/>
            <w:ind w:hanging="480"/>
            <w:divId w:val="1256477752"/>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1F8A8F07" w14:textId="77777777" w:rsidR="00A65B3E" w:rsidRDefault="00A65B3E">
          <w:pPr>
            <w:autoSpaceDE w:val="0"/>
            <w:autoSpaceDN w:val="0"/>
            <w:ind w:hanging="480"/>
            <w:divId w:val="19858842"/>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219DBF3C" w14:textId="77777777" w:rsidR="00A65B3E" w:rsidRDefault="00A65B3E">
          <w:pPr>
            <w:autoSpaceDE w:val="0"/>
            <w:autoSpaceDN w:val="0"/>
            <w:ind w:hanging="480"/>
            <w:divId w:val="1931624164"/>
            <w:rPr>
              <w:rFonts w:eastAsia="Times New Roman"/>
            </w:rPr>
          </w:pPr>
          <w:r>
            <w:rPr>
              <w:rFonts w:eastAsia="Times New Roman"/>
            </w:rPr>
            <w:t xml:space="preserve">——,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3BBE2369" w14:textId="77777777" w:rsidR="00A65B3E" w:rsidRDefault="00A65B3E">
          <w:pPr>
            <w:autoSpaceDE w:val="0"/>
            <w:autoSpaceDN w:val="0"/>
            <w:ind w:hanging="480"/>
            <w:divId w:val="1452551602"/>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086138FB" w14:textId="77777777" w:rsidR="00A65B3E" w:rsidRDefault="00A65B3E">
          <w:pPr>
            <w:autoSpaceDE w:val="0"/>
            <w:autoSpaceDN w:val="0"/>
            <w:ind w:hanging="480"/>
            <w:divId w:val="138617043"/>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4D3B3C0" w14:textId="77777777" w:rsidR="00A65B3E" w:rsidRDefault="00A65B3E">
          <w:pPr>
            <w:autoSpaceDE w:val="0"/>
            <w:autoSpaceDN w:val="0"/>
            <w:ind w:hanging="480"/>
            <w:divId w:val="1646003522"/>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8A399EE" w14:textId="77777777" w:rsidR="00A65B3E" w:rsidRDefault="00A65B3E">
          <w:pPr>
            <w:autoSpaceDE w:val="0"/>
            <w:autoSpaceDN w:val="0"/>
            <w:ind w:hanging="480"/>
            <w:divId w:val="969163978"/>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5754F662" w14:textId="77777777" w:rsidR="00A65B3E" w:rsidRDefault="00A65B3E">
          <w:pPr>
            <w:autoSpaceDE w:val="0"/>
            <w:autoSpaceDN w:val="0"/>
            <w:ind w:hanging="480"/>
            <w:divId w:val="562446183"/>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717CECE8" w14:textId="77777777" w:rsidR="00A65B3E" w:rsidRDefault="00A65B3E">
          <w:pPr>
            <w:autoSpaceDE w:val="0"/>
            <w:autoSpaceDN w:val="0"/>
            <w:ind w:hanging="480"/>
            <w:divId w:val="1812401071"/>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60998248" w14:textId="77777777" w:rsidR="00A65B3E" w:rsidRDefault="00A65B3E">
          <w:pPr>
            <w:autoSpaceDE w:val="0"/>
            <w:autoSpaceDN w:val="0"/>
            <w:ind w:hanging="480"/>
            <w:divId w:val="1049959745"/>
            <w:rPr>
              <w:rFonts w:eastAsia="Times New Roman"/>
            </w:rPr>
          </w:pPr>
          <w:r>
            <w:rPr>
              <w:rFonts w:eastAsia="Times New Roman"/>
            </w:rPr>
            <w:t xml:space="preserve">——, and Coauthors, 2023: IMPROVER: The New Probabilistic Postprocessing System at the Met Office. </w:t>
          </w:r>
          <w:r>
            <w:rPr>
              <w:rFonts w:eastAsia="Times New Roman"/>
              <w:i/>
              <w:iCs/>
            </w:rPr>
            <w:t>Bull Am Meteorol Soc</w:t>
          </w:r>
          <w:r>
            <w:rPr>
              <w:rFonts w:eastAsia="Times New Roman"/>
            </w:rPr>
            <w:t xml:space="preserve">, </w:t>
          </w:r>
          <w:r>
            <w:rPr>
              <w:rFonts w:eastAsia="Times New Roman"/>
              <w:b/>
              <w:bCs/>
            </w:rPr>
            <w:t>104</w:t>
          </w:r>
          <w:r>
            <w:rPr>
              <w:rFonts w:eastAsia="Times New Roman"/>
            </w:rPr>
            <w:t>, E680–E697, https://doi.org/10.1175/BAMS-D-21-0273.1.</w:t>
          </w:r>
        </w:p>
        <w:p w14:paraId="7C27E3B0" w14:textId="77777777" w:rsidR="00A65B3E" w:rsidRDefault="00A65B3E">
          <w:pPr>
            <w:autoSpaceDE w:val="0"/>
            <w:autoSpaceDN w:val="0"/>
            <w:ind w:hanging="480"/>
            <w:divId w:val="1153717916"/>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2156C77B" w14:textId="77777777" w:rsidR="00A65B3E" w:rsidRDefault="00A65B3E">
          <w:pPr>
            <w:autoSpaceDE w:val="0"/>
            <w:autoSpaceDN w:val="0"/>
            <w:ind w:hanging="480"/>
            <w:divId w:val="943003164"/>
            <w:rPr>
              <w:rFonts w:eastAsia="Times New Roman"/>
            </w:rPr>
          </w:pPr>
          <w:r>
            <w:rPr>
              <w:rFonts w:eastAsia="Times New Roman"/>
            </w:rPr>
            <w:t xml:space="preserve">Wilks, D. S., 2019: </w:t>
          </w:r>
          <w:r>
            <w:rPr>
              <w:rFonts w:eastAsia="Times New Roman"/>
              <w:i/>
              <w:iCs/>
            </w:rPr>
            <w:t>Statistical Methods in Atmoshperic Sciences</w:t>
          </w:r>
          <w:r>
            <w:rPr>
              <w:rFonts w:eastAsia="Times New Roman"/>
            </w:rPr>
            <w:t>. Fourth Edi. Elsevier Inc.,.</w:t>
          </w:r>
        </w:p>
        <w:p w14:paraId="192F8CEE" w14:textId="77777777" w:rsidR="00A65B3E" w:rsidRDefault="00A65B3E">
          <w:pPr>
            <w:autoSpaceDE w:val="0"/>
            <w:autoSpaceDN w:val="0"/>
            <w:ind w:hanging="480"/>
            <w:divId w:val="1299527499"/>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 Model Dev</w:t>
          </w:r>
          <w:r>
            <w:rPr>
              <w:rFonts w:eastAsia="Times New Roman"/>
            </w:rPr>
            <w:t xml:space="preserve">, </w:t>
          </w:r>
          <w:r>
            <w:rPr>
              <w:rFonts w:eastAsia="Times New Roman"/>
              <w:b/>
              <w:bCs/>
            </w:rPr>
            <w:t>14</w:t>
          </w:r>
          <w:r>
            <w:rPr>
              <w:rFonts w:eastAsia="Times New Roman"/>
            </w:rPr>
            <w:t>, 4617–4639, https://doi.org/10.5194/gmd-14-4617-2021.</w:t>
          </w:r>
        </w:p>
        <w:p w14:paraId="47DC770B" w14:textId="503E58BB" w:rsidR="004C7E98" w:rsidRPr="004C7E98" w:rsidRDefault="00A65B3E"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BD7C" w14:textId="77777777" w:rsidR="00E70EC0" w:rsidRDefault="00E70EC0" w:rsidP="00684DFC">
      <w:pPr>
        <w:spacing w:before="0"/>
      </w:pPr>
      <w:r>
        <w:separator/>
      </w:r>
    </w:p>
  </w:endnote>
  <w:endnote w:type="continuationSeparator" w:id="0">
    <w:p w14:paraId="1EF140D9" w14:textId="77777777" w:rsidR="00E70EC0" w:rsidRDefault="00E70EC0" w:rsidP="00684DFC">
      <w:pPr>
        <w:spacing w:before="0"/>
      </w:pPr>
      <w:r>
        <w:continuationSeparator/>
      </w:r>
    </w:p>
  </w:endnote>
  <w:endnote w:type="continuationNotice" w:id="1">
    <w:p w14:paraId="5878A0C2" w14:textId="77777777" w:rsidR="00E70EC0" w:rsidRDefault="00E70EC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F4697" w14:textId="77777777" w:rsidR="00E70EC0" w:rsidRDefault="00E70EC0" w:rsidP="00684DFC">
      <w:pPr>
        <w:spacing w:before="0"/>
      </w:pPr>
      <w:r>
        <w:separator/>
      </w:r>
    </w:p>
  </w:footnote>
  <w:footnote w:type="continuationSeparator" w:id="0">
    <w:p w14:paraId="04AFEC9F" w14:textId="77777777" w:rsidR="00E70EC0" w:rsidRDefault="00E70EC0" w:rsidP="00684DFC">
      <w:pPr>
        <w:spacing w:before="0"/>
      </w:pPr>
      <w:r>
        <w:continuationSeparator/>
      </w:r>
    </w:p>
  </w:footnote>
  <w:footnote w:type="continuationNotice" w:id="1">
    <w:p w14:paraId="05851B10" w14:textId="77777777" w:rsidR="00E70EC0" w:rsidRDefault="00E70EC0">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A1207D2"/>
    <w:multiLevelType w:val="multilevel"/>
    <w:tmpl w:val="0809001D"/>
    <w:numStyleLink w:val="Stile1"/>
  </w:abstractNum>
  <w:abstractNum w:abstractNumId="15"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9"/>
  </w:num>
  <w:num w:numId="4" w16cid:durableId="739909452">
    <w:abstractNumId w:val="0"/>
  </w:num>
  <w:num w:numId="5" w16cid:durableId="1706558871">
    <w:abstractNumId w:val="2"/>
  </w:num>
  <w:num w:numId="6" w16cid:durableId="1782214140">
    <w:abstractNumId w:val="6"/>
  </w:num>
  <w:num w:numId="7" w16cid:durableId="1833794076">
    <w:abstractNumId w:val="26"/>
  </w:num>
  <w:num w:numId="8" w16cid:durableId="1016274156">
    <w:abstractNumId w:val="26"/>
    <w:lvlOverride w:ilvl="0">
      <w:startOverride w:val="1"/>
    </w:lvlOverride>
  </w:num>
  <w:num w:numId="9" w16cid:durableId="555505553">
    <w:abstractNumId w:val="5"/>
    <w:lvlOverride w:ilvl="0">
      <w:startOverride w:val="1"/>
    </w:lvlOverride>
  </w:num>
  <w:num w:numId="10" w16cid:durableId="315692501">
    <w:abstractNumId w:val="18"/>
  </w:num>
  <w:num w:numId="11" w16cid:durableId="479927069">
    <w:abstractNumId w:val="14"/>
  </w:num>
  <w:num w:numId="12" w16cid:durableId="1488864590">
    <w:abstractNumId w:val="7"/>
  </w:num>
  <w:num w:numId="13" w16cid:durableId="952371394">
    <w:abstractNumId w:val="20"/>
  </w:num>
  <w:num w:numId="14" w16cid:durableId="446972362">
    <w:abstractNumId w:val="17"/>
  </w:num>
  <w:num w:numId="15" w16cid:durableId="198324684">
    <w:abstractNumId w:val="11"/>
  </w:num>
  <w:num w:numId="16" w16cid:durableId="487984769">
    <w:abstractNumId w:val="8"/>
  </w:num>
  <w:num w:numId="17" w16cid:durableId="1951354820">
    <w:abstractNumId w:val="25"/>
  </w:num>
  <w:num w:numId="18" w16cid:durableId="1969121098">
    <w:abstractNumId w:val="21"/>
  </w:num>
  <w:num w:numId="19" w16cid:durableId="1412584641">
    <w:abstractNumId w:val="24"/>
  </w:num>
  <w:num w:numId="20" w16cid:durableId="584069954">
    <w:abstractNumId w:val="23"/>
  </w:num>
  <w:num w:numId="21" w16cid:durableId="250893771">
    <w:abstractNumId w:val="15"/>
  </w:num>
  <w:num w:numId="22" w16cid:durableId="1637679864">
    <w:abstractNumId w:val="16"/>
  </w:num>
  <w:num w:numId="23" w16cid:durableId="992949400">
    <w:abstractNumId w:val="3"/>
  </w:num>
  <w:num w:numId="24" w16cid:durableId="665398661">
    <w:abstractNumId w:val="22"/>
  </w:num>
  <w:num w:numId="25" w16cid:durableId="1309094712">
    <w:abstractNumId w:val="1"/>
  </w:num>
  <w:num w:numId="26" w16cid:durableId="1114398373">
    <w:abstractNumId w:val="27"/>
  </w:num>
  <w:num w:numId="27" w16cid:durableId="259796265">
    <w:abstractNumId w:val="4"/>
  </w:num>
  <w:num w:numId="28" w16cid:durableId="714425478">
    <w:abstractNumId w:val="12"/>
  </w:num>
  <w:num w:numId="29" w16cid:durableId="1213998543">
    <w:abstractNumId w:val="13"/>
  </w:num>
  <w:num w:numId="30" w16cid:durableId="185888101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C49"/>
    <w:rsid w:val="00055DCE"/>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1769"/>
    <w:rsid w:val="000A230C"/>
    <w:rsid w:val="000A2964"/>
    <w:rsid w:val="000A324C"/>
    <w:rsid w:val="000A37EC"/>
    <w:rsid w:val="000A4451"/>
    <w:rsid w:val="000A4BF0"/>
    <w:rsid w:val="000A5096"/>
    <w:rsid w:val="000A56EA"/>
    <w:rsid w:val="000A5E15"/>
    <w:rsid w:val="000A611F"/>
    <w:rsid w:val="000A6D23"/>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30C"/>
    <w:rsid w:val="00115CE3"/>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6E90"/>
    <w:rsid w:val="00137161"/>
    <w:rsid w:val="00140413"/>
    <w:rsid w:val="001405D3"/>
    <w:rsid w:val="001415E1"/>
    <w:rsid w:val="00141A04"/>
    <w:rsid w:val="001420E5"/>
    <w:rsid w:val="0014333B"/>
    <w:rsid w:val="00143878"/>
    <w:rsid w:val="00144E2B"/>
    <w:rsid w:val="00144F7A"/>
    <w:rsid w:val="00145038"/>
    <w:rsid w:val="001456B6"/>
    <w:rsid w:val="0014588A"/>
    <w:rsid w:val="00145BF8"/>
    <w:rsid w:val="00145E9E"/>
    <w:rsid w:val="0014794C"/>
    <w:rsid w:val="00147AF6"/>
    <w:rsid w:val="001503F3"/>
    <w:rsid w:val="00150707"/>
    <w:rsid w:val="001521F3"/>
    <w:rsid w:val="0015293A"/>
    <w:rsid w:val="001542C7"/>
    <w:rsid w:val="00154757"/>
    <w:rsid w:val="00155136"/>
    <w:rsid w:val="00155185"/>
    <w:rsid w:val="0015545D"/>
    <w:rsid w:val="00155663"/>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8CA"/>
    <w:rsid w:val="00193B39"/>
    <w:rsid w:val="00194189"/>
    <w:rsid w:val="001951AE"/>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4C78"/>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4EF"/>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4696"/>
    <w:rsid w:val="00265242"/>
    <w:rsid w:val="002653C7"/>
    <w:rsid w:val="002659B1"/>
    <w:rsid w:val="00265D91"/>
    <w:rsid w:val="00265DF1"/>
    <w:rsid w:val="002664DC"/>
    <w:rsid w:val="0026733C"/>
    <w:rsid w:val="00267929"/>
    <w:rsid w:val="00270274"/>
    <w:rsid w:val="00270491"/>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2333"/>
    <w:rsid w:val="002925F8"/>
    <w:rsid w:val="002926BA"/>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D03F1"/>
    <w:rsid w:val="002D052B"/>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651"/>
    <w:rsid w:val="0039009C"/>
    <w:rsid w:val="00390743"/>
    <w:rsid w:val="003912AA"/>
    <w:rsid w:val="0039188B"/>
    <w:rsid w:val="003922D5"/>
    <w:rsid w:val="00392DD1"/>
    <w:rsid w:val="0039302D"/>
    <w:rsid w:val="003937BE"/>
    <w:rsid w:val="003943C4"/>
    <w:rsid w:val="00394411"/>
    <w:rsid w:val="00394516"/>
    <w:rsid w:val="0039479F"/>
    <w:rsid w:val="00394AF6"/>
    <w:rsid w:val="00394D6E"/>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C14"/>
    <w:rsid w:val="003B3C59"/>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97C"/>
    <w:rsid w:val="003F1B2B"/>
    <w:rsid w:val="003F288F"/>
    <w:rsid w:val="003F28BE"/>
    <w:rsid w:val="003F30C9"/>
    <w:rsid w:val="003F3A04"/>
    <w:rsid w:val="003F3AF5"/>
    <w:rsid w:val="003F51AD"/>
    <w:rsid w:val="003F53A1"/>
    <w:rsid w:val="003F56AF"/>
    <w:rsid w:val="003F597E"/>
    <w:rsid w:val="003F5CC6"/>
    <w:rsid w:val="003F77DB"/>
    <w:rsid w:val="003F7B64"/>
    <w:rsid w:val="004000E7"/>
    <w:rsid w:val="00400172"/>
    <w:rsid w:val="004009D7"/>
    <w:rsid w:val="00400EAD"/>
    <w:rsid w:val="00401EC8"/>
    <w:rsid w:val="00401EE6"/>
    <w:rsid w:val="00401FCC"/>
    <w:rsid w:val="00402114"/>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913"/>
    <w:rsid w:val="00410077"/>
    <w:rsid w:val="00410711"/>
    <w:rsid w:val="00410DAE"/>
    <w:rsid w:val="00410DBD"/>
    <w:rsid w:val="00410F35"/>
    <w:rsid w:val="00410FB4"/>
    <w:rsid w:val="00411363"/>
    <w:rsid w:val="00411C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0DC8"/>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01F"/>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606"/>
    <w:rsid w:val="004B0126"/>
    <w:rsid w:val="004B0A2E"/>
    <w:rsid w:val="004B0AD4"/>
    <w:rsid w:val="004B1CF0"/>
    <w:rsid w:val="004B2174"/>
    <w:rsid w:val="004B2309"/>
    <w:rsid w:val="004B2936"/>
    <w:rsid w:val="004B2E4D"/>
    <w:rsid w:val="004B30BB"/>
    <w:rsid w:val="004B3303"/>
    <w:rsid w:val="004B3C2C"/>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D04A4"/>
    <w:rsid w:val="004D04C5"/>
    <w:rsid w:val="004D053E"/>
    <w:rsid w:val="004D08E7"/>
    <w:rsid w:val="004D1598"/>
    <w:rsid w:val="004D164B"/>
    <w:rsid w:val="004D22B5"/>
    <w:rsid w:val="004D22ED"/>
    <w:rsid w:val="004D2639"/>
    <w:rsid w:val="004D28DB"/>
    <w:rsid w:val="004D2BB1"/>
    <w:rsid w:val="004D3591"/>
    <w:rsid w:val="004D3805"/>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24E2"/>
    <w:rsid w:val="004E25D0"/>
    <w:rsid w:val="004E3208"/>
    <w:rsid w:val="004E3A2D"/>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2E9"/>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969"/>
    <w:rsid w:val="00570D74"/>
    <w:rsid w:val="00571071"/>
    <w:rsid w:val="00571223"/>
    <w:rsid w:val="00571A3B"/>
    <w:rsid w:val="00572138"/>
    <w:rsid w:val="00572157"/>
    <w:rsid w:val="005726E0"/>
    <w:rsid w:val="00573197"/>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56E"/>
    <w:rsid w:val="005A6EF8"/>
    <w:rsid w:val="005B0B3E"/>
    <w:rsid w:val="005B0C60"/>
    <w:rsid w:val="005B0E31"/>
    <w:rsid w:val="005B13F4"/>
    <w:rsid w:val="005B192B"/>
    <w:rsid w:val="005B1CA4"/>
    <w:rsid w:val="005B1DEF"/>
    <w:rsid w:val="005B28F1"/>
    <w:rsid w:val="005B2B34"/>
    <w:rsid w:val="005B37A7"/>
    <w:rsid w:val="005B3829"/>
    <w:rsid w:val="005B4784"/>
    <w:rsid w:val="005B4CC2"/>
    <w:rsid w:val="005B5B58"/>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357"/>
    <w:rsid w:val="005E7B44"/>
    <w:rsid w:val="005F0276"/>
    <w:rsid w:val="005F0E8A"/>
    <w:rsid w:val="005F1335"/>
    <w:rsid w:val="005F2137"/>
    <w:rsid w:val="005F2B50"/>
    <w:rsid w:val="005F3E9D"/>
    <w:rsid w:val="005F4F60"/>
    <w:rsid w:val="005F5C37"/>
    <w:rsid w:val="005F6174"/>
    <w:rsid w:val="005F61F3"/>
    <w:rsid w:val="005F6393"/>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BD5"/>
    <w:rsid w:val="00630F54"/>
    <w:rsid w:val="0063192F"/>
    <w:rsid w:val="00631FA6"/>
    <w:rsid w:val="006322AB"/>
    <w:rsid w:val="006325E8"/>
    <w:rsid w:val="00632663"/>
    <w:rsid w:val="00632687"/>
    <w:rsid w:val="00632788"/>
    <w:rsid w:val="00632814"/>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A6A"/>
    <w:rsid w:val="00674BB1"/>
    <w:rsid w:val="00674D08"/>
    <w:rsid w:val="006751F1"/>
    <w:rsid w:val="00676391"/>
    <w:rsid w:val="006763EA"/>
    <w:rsid w:val="006771A4"/>
    <w:rsid w:val="0068060C"/>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2D0"/>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609"/>
    <w:rsid w:val="00721D13"/>
    <w:rsid w:val="00722381"/>
    <w:rsid w:val="007247E9"/>
    <w:rsid w:val="00724875"/>
    <w:rsid w:val="00724921"/>
    <w:rsid w:val="00724A7B"/>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3091"/>
    <w:rsid w:val="007532DC"/>
    <w:rsid w:val="007538A7"/>
    <w:rsid w:val="00753A90"/>
    <w:rsid w:val="00754043"/>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3928"/>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A65"/>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E10"/>
    <w:rsid w:val="008B463B"/>
    <w:rsid w:val="008B4A68"/>
    <w:rsid w:val="008B5B41"/>
    <w:rsid w:val="008B5CBB"/>
    <w:rsid w:val="008B65BE"/>
    <w:rsid w:val="008B6BD9"/>
    <w:rsid w:val="008B6D54"/>
    <w:rsid w:val="008B76F7"/>
    <w:rsid w:val="008B77DD"/>
    <w:rsid w:val="008B7D25"/>
    <w:rsid w:val="008C01F4"/>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451"/>
    <w:rsid w:val="008F376A"/>
    <w:rsid w:val="008F3CFD"/>
    <w:rsid w:val="008F447E"/>
    <w:rsid w:val="008F46F7"/>
    <w:rsid w:val="008F484F"/>
    <w:rsid w:val="008F50DE"/>
    <w:rsid w:val="008F6328"/>
    <w:rsid w:val="008F6595"/>
    <w:rsid w:val="008F6C18"/>
    <w:rsid w:val="00900A9A"/>
    <w:rsid w:val="00901152"/>
    <w:rsid w:val="0090139A"/>
    <w:rsid w:val="00901697"/>
    <w:rsid w:val="00901818"/>
    <w:rsid w:val="00902AFA"/>
    <w:rsid w:val="00902B06"/>
    <w:rsid w:val="009033FD"/>
    <w:rsid w:val="00903FDC"/>
    <w:rsid w:val="00904B07"/>
    <w:rsid w:val="00904D70"/>
    <w:rsid w:val="00904DE0"/>
    <w:rsid w:val="00905DFE"/>
    <w:rsid w:val="0090695D"/>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0BA"/>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C44"/>
    <w:rsid w:val="00A92D0A"/>
    <w:rsid w:val="00A93429"/>
    <w:rsid w:val="00A943F3"/>
    <w:rsid w:val="00A94F85"/>
    <w:rsid w:val="00A9551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FC3"/>
    <w:rsid w:val="00AA60FD"/>
    <w:rsid w:val="00AA6281"/>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38D"/>
    <w:rsid w:val="00AB6A80"/>
    <w:rsid w:val="00AB6DF4"/>
    <w:rsid w:val="00AB7C2C"/>
    <w:rsid w:val="00AC00D0"/>
    <w:rsid w:val="00AC0301"/>
    <w:rsid w:val="00AC0AEB"/>
    <w:rsid w:val="00AC0F68"/>
    <w:rsid w:val="00AC1166"/>
    <w:rsid w:val="00AC137D"/>
    <w:rsid w:val="00AC1DC2"/>
    <w:rsid w:val="00AC2770"/>
    <w:rsid w:val="00AC2FCC"/>
    <w:rsid w:val="00AC470B"/>
    <w:rsid w:val="00AC4AE1"/>
    <w:rsid w:val="00AC4E05"/>
    <w:rsid w:val="00AC54A8"/>
    <w:rsid w:val="00AC5BEF"/>
    <w:rsid w:val="00AC6151"/>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B0"/>
    <w:rsid w:val="00AD4DF9"/>
    <w:rsid w:val="00AD5482"/>
    <w:rsid w:val="00AD5CBB"/>
    <w:rsid w:val="00AD64CD"/>
    <w:rsid w:val="00AD6A74"/>
    <w:rsid w:val="00AD6B8F"/>
    <w:rsid w:val="00AD6BB3"/>
    <w:rsid w:val="00AD6BC8"/>
    <w:rsid w:val="00AD7544"/>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B7749"/>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6A1D"/>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FF8"/>
    <w:rsid w:val="00C46056"/>
    <w:rsid w:val="00C4660F"/>
    <w:rsid w:val="00C46B3E"/>
    <w:rsid w:val="00C46EE2"/>
    <w:rsid w:val="00C46EF2"/>
    <w:rsid w:val="00C473FA"/>
    <w:rsid w:val="00C47465"/>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123"/>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80DDE"/>
    <w:rsid w:val="00C82D38"/>
    <w:rsid w:val="00C82D4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71A0"/>
    <w:rsid w:val="00CB772E"/>
    <w:rsid w:val="00CC001C"/>
    <w:rsid w:val="00CC016C"/>
    <w:rsid w:val="00CC023B"/>
    <w:rsid w:val="00CC03E9"/>
    <w:rsid w:val="00CC0E75"/>
    <w:rsid w:val="00CC109D"/>
    <w:rsid w:val="00CC157C"/>
    <w:rsid w:val="00CC1DDE"/>
    <w:rsid w:val="00CC26D5"/>
    <w:rsid w:val="00CC2710"/>
    <w:rsid w:val="00CC293A"/>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9C"/>
    <w:rsid w:val="00D650D7"/>
    <w:rsid w:val="00D6535F"/>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12C0"/>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65C"/>
    <w:rsid w:val="00DA33EB"/>
    <w:rsid w:val="00DA38F9"/>
    <w:rsid w:val="00DA40F4"/>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CF6"/>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918"/>
    <w:rsid w:val="00E17B23"/>
    <w:rsid w:val="00E17E90"/>
    <w:rsid w:val="00E2015E"/>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988"/>
    <w:rsid w:val="00E25F0F"/>
    <w:rsid w:val="00E268DF"/>
    <w:rsid w:val="00E26D6F"/>
    <w:rsid w:val="00E27126"/>
    <w:rsid w:val="00E271C6"/>
    <w:rsid w:val="00E27F2B"/>
    <w:rsid w:val="00E300AE"/>
    <w:rsid w:val="00E301D0"/>
    <w:rsid w:val="00E30604"/>
    <w:rsid w:val="00E3075B"/>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E97"/>
    <w:rsid w:val="00E65383"/>
    <w:rsid w:val="00E6622B"/>
    <w:rsid w:val="00E66760"/>
    <w:rsid w:val="00E66B38"/>
    <w:rsid w:val="00E66EBC"/>
    <w:rsid w:val="00E66EDF"/>
    <w:rsid w:val="00E673B0"/>
    <w:rsid w:val="00E67472"/>
    <w:rsid w:val="00E67AB5"/>
    <w:rsid w:val="00E7050E"/>
    <w:rsid w:val="00E709A1"/>
    <w:rsid w:val="00E70ABE"/>
    <w:rsid w:val="00E70C35"/>
    <w:rsid w:val="00E70C67"/>
    <w:rsid w:val="00E70D8A"/>
    <w:rsid w:val="00E70EC0"/>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2B"/>
    <w:rsid w:val="00F2292F"/>
    <w:rsid w:val="00F22981"/>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70411"/>
    <w:rsid w:val="00F710E3"/>
    <w:rsid w:val="00F71276"/>
    <w:rsid w:val="00F717FD"/>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CFA"/>
    <w:rsid w:val="00F866C0"/>
    <w:rsid w:val="00F8691A"/>
    <w:rsid w:val="00F86FAB"/>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12F"/>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4087"/>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D00DFB" w:rsidRDefault="004860CA" w:rsidP="004860CA">
          <w:pPr>
            <w:pStyle w:val="D362739216A54E599238C0691F44824C"/>
          </w:pPr>
          <w:r w:rsidRPr="004E6587">
            <w:rPr>
              <w:rStyle w:val="Testosegnaposto"/>
            </w:rPr>
            <w:t>Click or tap here to enter text.</w:t>
          </w:r>
        </w:p>
      </w:docPartBody>
    </w:docPart>
    <w:docPart>
      <w:docPartPr>
        <w:name w:val="49436C45758B4B5BB8E3098B3A140691"/>
        <w:category>
          <w:name w:val="Generale"/>
          <w:gallery w:val="placeholder"/>
        </w:category>
        <w:types>
          <w:type w:val="bbPlcHdr"/>
        </w:types>
        <w:behaviors>
          <w:behavior w:val="content"/>
        </w:behaviors>
        <w:guid w:val="{E758E070-D0C3-419B-A5AD-101D4992D2B2}"/>
      </w:docPartPr>
      <w:docPartBody>
        <w:p w:rsidR="00D00DFB" w:rsidRDefault="004860CA" w:rsidP="004860CA">
          <w:pPr>
            <w:pStyle w:val="49436C45758B4B5BB8E3098B3A140691"/>
          </w:pPr>
          <w:r w:rsidRPr="004E6587">
            <w:rPr>
              <w:rStyle w:val="Testosegnaposto"/>
            </w:rPr>
            <w:t>Click or tap here to enter text.</w:t>
          </w:r>
        </w:p>
      </w:docPartBody>
    </w:docPart>
    <w:docPart>
      <w:docPartPr>
        <w:name w:val="F157D738D28D4F8B97B14AF933BD2D91"/>
        <w:category>
          <w:name w:val="Generale"/>
          <w:gallery w:val="placeholder"/>
        </w:category>
        <w:types>
          <w:type w:val="bbPlcHdr"/>
        </w:types>
        <w:behaviors>
          <w:behavior w:val="content"/>
        </w:behaviors>
        <w:guid w:val="{A574F83E-BE85-40E0-80AA-A38F4A72AE4B}"/>
      </w:docPartPr>
      <w:docPartBody>
        <w:p w:rsidR="00D00DFB" w:rsidRDefault="004860CA" w:rsidP="004860CA">
          <w:pPr>
            <w:pStyle w:val="F157D738D28D4F8B97B14AF933BD2D91"/>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Testosegnaposto"/>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Testosegnaposto"/>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Testosegnaposto"/>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Testosegnaposto"/>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860CA"/>
    <w:rsid w:val="0050761E"/>
    <w:rsid w:val="0085785F"/>
    <w:rsid w:val="00B365F1"/>
    <w:rsid w:val="00BC00A1"/>
    <w:rsid w:val="00CD23C5"/>
    <w:rsid w:val="00D00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00DFB"/>
    <w:rPr>
      <w:color w:val="808080"/>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nd Hewson 2018)&quot;,&quot;manualOverrideText&quot;:&quot;(Section 9.6. Convective precipitation. Owens &amp; Hewson, 2018)&quot;},&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ff7d5346-ec18-49b0-b131-8e11362c916e&quot;,&quot;properties&quot;:{&quot;noteIndex&quot;:0},&quot;isEdited&quot;:false,&quot;manualOverride&quot;:{&quot;isManuallyOverridden&quot;:true,&quot;citeprocText&quot;:&quot;(Owens and Hewson 2018)&quot;,&quot;manualOverrideText&quot;:&quot;(Section 2.1.5.4. Convective precipitation. Owens &amp; Hewson, 2018)&quot;},&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4.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4487</TotalTime>
  <Pages>16</Pages>
  <Words>5306</Words>
  <Characters>30250</Characters>
  <Application>Microsoft Office Word</Application>
  <DocSecurity>0</DocSecurity>
  <Lines>252</Lines>
  <Paragraphs>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860</cp:revision>
  <cp:lastPrinted>2021-08-01T21:48:00Z</cp:lastPrinted>
  <dcterms:created xsi:type="dcterms:W3CDTF">2021-10-29T19:48:00Z</dcterms:created>
  <dcterms:modified xsi:type="dcterms:W3CDTF">2023-12-17T09:13:00Z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